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B2" w:rsidRPr="00DA0F2E" w:rsidRDefault="008958B2" w:rsidP="008958B2">
      <w:pPr>
        <w:pStyle w:val="Odstavecseseznamem"/>
        <w:ind w:left="0"/>
        <w:rPr>
          <w:b/>
          <w:sz w:val="24"/>
          <w:szCs w:val="24"/>
        </w:rPr>
      </w:pPr>
      <w:bookmarkStart w:id="0" w:name="_GoBack"/>
      <w:bookmarkEnd w:id="0"/>
      <w:r>
        <w:rPr>
          <w:b/>
          <w:sz w:val="24"/>
          <w:szCs w:val="24"/>
        </w:rPr>
        <w:t>Identifikace příchozích plateb</w:t>
      </w:r>
    </w:p>
    <w:p w:rsidR="008958B2" w:rsidRDefault="008958B2" w:rsidP="008958B2">
      <w:pPr>
        <w:pStyle w:val="Odstavecseseznamem"/>
        <w:ind w:left="0" w:firstLine="708"/>
        <w:jc w:val="both"/>
        <w:rPr>
          <w:sz w:val="24"/>
          <w:szCs w:val="24"/>
        </w:rPr>
      </w:pPr>
      <w:r>
        <w:rPr>
          <w:sz w:val="24"/>
          <w:szCs w:val="24"/>
        </w:rPr>
        <w:t>Pro snadnější a přesnější identifikaci příchozích plateb bude třeba změnit a sjednotit systém variabilních a specifických symbolů. Specifický symbol je vždy a zásadně vyhrazen pouze zadání registračního čísla oddílu. Specifický symbol je nezbytnou součástí platby v případě, že platbu provádí klub.</w:t>
      </w:r>
    </w:p>
    <w:p w:rsidR="008958B2" w:rsidRDefault="008958B2" w:rsidP="008958B2">
      <w:pPr>
        <w:pStyle w:val="Odstavecseseznamem"/>
        <w:ind w:left="0" w:firstLine="708"/>
        <w:jc w:val="both"/>
        <w:rPr>
          <w:sz w:val="24"/>
          <w:szCs w:val="24"/>
        </w:rPr>
      </w:pPr>
      <w:r>
        <w:rPr>
          <w:sz w:val="24"/>
          <w:szCs w:val="24"/>
        </w:rPr>
        <w:t xml:space="preserve">Případný text pro příjemce může pomoci dále zpřesnit platbu (např. v případě individuálního startovného je text přímo nezbytný pro identifikaci typu individuálního startovného). </w:t>
      </w:r>
    </w:p>
    <w:p w:rsidR="008958B2" w:rsidRDefault="008958B2" w:rsidP="008958B2">
      <w:pPr>
        <w:pStyle w:val="Odstavecseseznamem"/>
        <w:ind w:left="0"/>
        <w:jc w:val="both"/>
        <w:rPr>
          <w:sz w:val="24"/>
          <w:szCs w:val="24"/>
        </w:rPr>
      </w:pPr>
      <w:r>
        <w:rPr>
          <w:sz w:val="24"/>
          <w:szCs w:val="24"/>
        </w:rPr>
        <w:t xml:space="preserve"> </w:t>
      </w:r>
      <w:r>
        <w:rPr>
          <w:sz w:val="24"/>
          <w:szCs w:val="24"/>
        </w:rPr>
        <w:tab/>
        <w:t xml:space="preserve">Variabilní symboly se nově budou počínaje roku 2012 skládat ze dvou částí – </w:t>
      </w:r>
      <w:r w:rsidRPr="00F564C5">
        <w:rPr>
          <w:sz w:val="24"/>
          <w:szCs w:val="24"/>
          <w:u w:val="single"/>
        </w:rPr>
        <w:t>účelové</w:t>
      </w:r>
      <w:r>
        <w:rPr>
          <w:sz w:val="24"/>
          <w:szCs w:val="24"/>
        </w:rPr>
        <w:t xml:space="preserve"> (první tři čísla), která vyjadřují účel platby a </w:t>
      </w:r>
      <w:r w:rsidRPr="00F564C5">
        <w:rPr>
          <w:sz w:val="24"/>
          <w:szCs w:val="24"/>
          <w:u w:val="single"/>
        </w:rPr>
        <w:t>organizační</w:t>
      </w:r>
      <w:r>
        <w:rPr>
          <w:sz w:val="24"/>
          <w:szCs w:val="24"/>
        </w:rPr>
        <w:t xml:space="preserve"> (další tři čísla), která vyjadřují, které organizační složce platba náleží. </w:t>
      </w:r>
    </w:p>
    <w:p w:rsidR="008958B2" w:rsidRDefault="008958B2" w:rsidP="008958B2">
      <w:pPr>
        <w:pStyle w:val="Odstavecseseznamem"/>
        <w:ind w:left="0"/>
        <w:jc w:val="both"/>
        <w:rPr>
          <w:sz w:val="24"/>
          <w:szCs w:val="24"/>
        </w:rPr>
      </w:pPr>
    </w:p>
    <w:p w:rsidR="008958B2" w:rsidRPr="00870891" w:rsidRDefault="008958B2" w:rsidP="008958B2">
      <w:pPr>
        <w:pStyle w:val="Odstavecseseznamem"/>
        <w:ind w:left="0"/>
        <w:jc w:val="both"/>
        <w:rPr>
          <w:sz w:val="24"/>
          <w:szCs w:val="24"/>
          <w:highlight w:val="yellow"/>
          <w:u w:val="single"/>
        </w:rPr>
      </w:pPr>
      <w:r w:rsidRPr="00870891">
        <w:rPr>
          <w:sz w:val="24"/>
          <w:szCs w:val="24"/>
          <w:highlight w:val="yellow"/>
          <w:u w:val="single"/>
        </w:rPr>
        <w:t>První část variabilního symbolu - účelová</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 xml:space="preserve">První trojmístná část variabilního symbolu vyjadřuje účel platby, </w:t>
      </w:r>
      <w:proofErr w:type="gramStart"/>
      <w:r w:rsidRPr="00870891">
        <w:rPr>
          <w:sz w:val="24"/>
          <w:szCs w:val="24"/>
          <w:highlight w:val="yellow"/>
        </w:rPr>
        <w:t>tzn. co</w:t>
      </w:r>
      <w:proofErr w:type="gramEnd"/>
      <w:r w:rsidRPr="00870891">
        <w:rPr>
          <w:sz w:val="24"/>
          <w:szCs w:val="24"/>
          <w:highlight w:val="yellow"/>
        </w:rPr>
        <w:t xml:space="preserve"> vlastně plátce  platbou uhradí. Je zřejmé, že v rámci jedné platby nelze platit více „účelů“.</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100-Startovné do soutěží</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200-Registrační poplatky, poplatky za hostování, přestupní poplatky</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300-Disciplinární poplatky, pokuty</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400-Účastnické poplatky semináře, vzdělávací poplatky rozhodčí, delegáti</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500-Klubové členské poplatky</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600-Metodické materiály, tiskopisy, zápisy, prodej zboží</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700-Individuální startovné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800-Vstupenky</w:t>
      </w:r>
    </w:p>
    <w:p w:rsidR="008958B2" w:rsidRDefault="008958B2" w:rsidP="008958B2">
      <w:pPr>
        <w:pStyle w:val="Odstavecseseznamem"/>
        <w:ind w:left="0"/>
        <w:jc w:val="both"/>
        <w:rPr>
          <w:sz w:val="24"/>
          <w:szCs w:val="24"/>
        </w:rPr>
      </w:pPr>
      <w:r w:rsidRPr="00870891">
        <w:rPr>
          <w:sz w:val="24"/>
          <w:szCs w:val="24"/>
          <w:highlight w:val="yellow"/>
        </w:rPr>
        <w:t>900-Ostatní</w:t>
      </w:r>
    </w:p>
    <w:p w:rsidR="008958B2" w:rsidRDefault="008958B2" w:rsidP="008958B2">
      <w:pPr>
        <w:pStyle w:val="Odstavecseseznamem"/>
        <w:ind w:left="0" w:firstLine="708"/>
        <w:jc w:val="both"/>
        <w:rPr>
          <w:sz w:val="24"/>
          <w:szCs w:val="24"/>
        </w:rPr>
      </w:pPr>
      <w:r>
        <w:rPr>
          <w:sz w:val="24"/>
          <w:szCs w:val="24"/>
        </w:rPr>
        <w:t>Ekonomický úsek (ale i krajská Exekutiva) může případně účelovou část variabilního symbolu „</w:t>
      </w:r>
      <w:proofErr w:type="spellStart"/>
      <w:r>
        <w:rPr>
          <w:sz w:val="24"/>
          <w:szCs w:val="24"/>
        </w:rPr>
        <w:t>doupravit</w:t>
      </w:r>
      <w:proofErr w:type="spellEnd"/>
      <w:r>
        <w:rPr>
          <w:sz w:val="24"/>
          <w:szCs w:val="24"/>
        </w:rPr>
        <w:t xml:space="preserve">“ např. pro konkrétní soutěž či vzdělávací akci, tak že první číslo bude vždy stejné – např. pro platby za trenérský seminář Konference mládeže stanoví ekonomka symbol např. </w:t>
      </w:r>
      <w:r w:rsidRPr="00232A10">
        <w:rPr>
          <w:sz w:val="24"/>
          <w:szCs w:val="24"/>
          <w:u w:val="single"/>
        </w:rPr>
        <w:t>4</w:t>
      </w:r>
      <w:r>
        <w:rPr>
          <w:sz w:val="24"/>
          <w:szCs w:val="24"/>
        </w:rPr>
        <w:t xml:space="preserve">10, nebo pro startovné pro žákovskou ligu stanoví </w:t>
      </w:r>
      <w:r w:rsidRPr="00232A10">
        <w:rPr>
          <w:sz w:val="24"/>
          <w:szCs w:val="24"/>
          <w:u w:val="single"/>
        </w:rPr>
        <w:t>1</w:t>
      </w:r>
      <w:r>
        <w:rPr>
          <w:sz w:val="24"/>
          <w:szCs w:val="24"/>
        </w:rPr>
        <w:t xml:space="preserve">07. </w:t>
      </w:r>
      <w:r w:rsidRPr="00870891">
        <w:rPr>
          <w:sz w:val="24"/>
          <w:szCs w:val="24"/>
          <w:highlight w:val="red"/>
        </w:rPr>
        <w:t>Oblastní a krajské orgány nemohou použít kódy 200, 500, 600 a 700, ty jsou vyhrazeny výhradně pro potřeby Českého svazu házené.</w:t>
      </w:r>
    </w:p>
    <w:p w:rsidR="008958B2" w:rsidRDefault="008958B2" w:rsidP="008958B2">
      <w:pPr>
        <w:pStyle w:val="Odstavecseseznamem"/>
        <w:ind w:left="0"/>
        <w:jc w:val="both"/>
        <w:rPr>
          <w:sz w:val="24"/>
          <w:szCs w:val="24"/>
        </w:rPr>
      </w:pPr>
    </w:p>
    <w:p w:rsidR="008958B2" w:rsidRPr="00870891" w:rsidRDefault="008958B2" w:rsidP="008958B2">
      <w:pPr>
        <w:pStyle w:val="Odstavecseseznamem"/>
        <w:ind w:left="0"/>
        <w:jc w:val="both"/>
        <w:rPr>
          <w:sz w:val="24"/>
          <w:szCs w:val="24"/>
          <w:highlight w:val="yellow"/>
          <w:u w:val="single"/>
        </w:rPr>
      </w:pPr>
      <w:r w:rsidRPr="00870891">
        <w:rPr>
          <w:sz w:val="24"/>
          <w:szCs w:val="24"/>
          <w:highlight w:val="yellow"/>
          <w:u w:val="single"/>
        </w:rPr>
        <w:t>Druhá část variabilního symbolu -organizační</w:t>
      </w:r>
    </w:p>
    <w:p w:rsidR="008958B2" w:rsidRDefault="008958B2" w:rsidP="008958B2">
      <w:pPr>
        <w:pStyle w:val="Odstavecseseznamem"/>
        <w:ind w:left="0"/>
        <w:jc w:val="both"/>
        <w:rPr>
          <w:sz w:val="24"/>
          <w:szCs w:val="24"/>
        </w:rPr>
      </w:pPr>
      <w:r w:rsidRPr="00870891">
        <w:rPr>
          <w:sz w:val="24"/>
          <w:szCs w:val="24"/>
          <w:highlight w:val="yellow"/>
        </w:rPr>
        <w:t>Přijatou platbu bude třeba nově také identifikovat tak, aby bylo možno bezpečně určit, jaké organizační složce přijatá platba náleží. A to to zejména v případě oblastních (krajských) svazů házené. V případě, že prostředky budou určeny pro Český svaz házené (např. startovné do celostátních soutěží) druhá část variabilního symbolu se neuvádí (popř. se mohou uvést tři nuly 000). Pokud budou prostředky určené pro oblastní svaz házené, popř. krajský svaz házené bude druhá část variabilního symbolu nést číslo organizační složky.</w:t>
      </w:r>
    </w:p>
    <w:p w:rsidR="008958B2" w:rsidRDefault="008958B2" w:rsidP="008958B2">
      <w:pPr>
        <w:pStyle w:val="Odstavecseseznamem"/>
        <w:ind w:left="0"/>
        <w:jc w:val="both"/>
        <w:rPr>
          <w:sz w:val="24"/>
          <w:szCs w:val="24"/>
        </w:rPr>
      </w:pPr>
    </w:p>
    <w:p w:rsidR="008958B2" w:rsidRDefault="008958B2" w:rsidP="008958B2">
      <w:pPr>
        <w:pStyle w:val="Odstavecseseznamem"/>
        <w:ind w:left="0"/>
        <w:jc w:val="both"/>
        <w:rPr>
          <w:sz w:val="24"/>
          <w:szCs w:val="24"/>
        </w:rPr>
      </w:pPr>
    </w:p>
    <w:p w:rsidR="008958B2" w:rsidRDefault="008958B2" w:rsidP="008958B2">
      <w:pPr>
        <w:pStyle w:val="Odstavecseseznamem"/>
        <w:ind w:left="0"/>
        <w:jc w:val="both"/>
        <w:rPr>
          <w:sz w:val="24"/>
          <w:szCs w:val="24"/>
        </w:rPr>
      </w:pPr>
    </w:p>
    <w:p w:rsidR="008958B2" w:rsidRDefault="008958B2" w:rsidP="008958B2">
      <w:pPr>
        <w:pStyle w:val="Odstavecseseznamem"/>
        <w:ind w:left="0"/>
        <w:jc w:val="both"/>
        <w:rPr>
          <w:sz w:val="24"/>
          <w:szCs w:val="24"/>
        </w:rPr>
      </w:pPr>
    </w:p>
    <w:p w:rsidR="008958B2" w:rsidRPr="00870891" w:rsidRDefault="008958B2" w:rsidP="008958B2">
      <w:pPr>
        <w:pStyle w:val="Odstavecseseznamem"/>
        <w:ind w:left="0"/>
        <w:jc w:val="both"/>
        <w:rPr>
          <w:sz w:val="24"/>
          <w:szCs w:val="24"/>
          <w:highlight w:val="yellow"/>
        </w:rPr>
      </w:pPr>
      <w:r w:rsidRPr="00870891">
        <w:rPr>
          <w:sz w:val="24"/>
          <w:szCs w:val="24"/>
          <w:highlight w:val="yellow"/>
        </w:rPr>
        <w:t xml:space="preserve">Příjmy (platby) určené krajským svazům házené </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 xml:space="preserve">651 – Pražský krajský svaz házené, </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652 – Středočeský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653 – Liberecký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654 – Ústecký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655 – Plzeňský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 xml:space="preserve">656 – Karlovarský krajský svaz </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657 – Jihočeský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658 – Krajský svaz házené Vysočina</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659 – Pardubický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660 – Královéhradecký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661 – Jihomoravský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662 – Olomoucký krajský svaz házené</w:t>
      </w:r>
    </w:p>
    <w:p w:rsidR="008958B2" w:rsidRPr="00870891" w:rsidRDefault="008958B2" w:rsidP="008958B2">
      <w:pPr>
        <w:pStyle w:val="Odstavecseseznamem"/>
        <w:ind w:left="0"/>
        <w:jc w:val="both"/>
        <w:rPr>
          <w:sz w:val="24"/>
          <w:szCs w:val="24"/>
          <w:highlight w:val="yellow"/>
        </w:rPr>
      </w:pPr>
      <w:r w:rsidRPr="00870891">
        <w:rPr>
          <w:sz w:val="24"/>
          <w:szCs w:val="24"/>
          <w:highlight w:val="yellow"/>
        </w:rPr>
        <w:t>663 – Zlínský krajský svaz házené</w:t>
      </w:r>
    </w:p>
    <w:p w:rsidR="008958B2" w:rsidRDefault="008958B2" w:rsidP="008958B2">
      <w:pPr>
        <w:pStyle w:val="Odstavecseseznamem"/>
        <w:ind w:left="0"/>
        <w:jc w:val="both"/>
        <w:rPr>
          <w:sz w:val="24"/>
          <w:szCs w:val="24"/>
        </w:rPr>
      </w:pPr>
      <w:r w:rsidRPr="00870891">
        <w:rPr>
          <w:sz w:val="24"/>
          <w:szCs w:val="24"/>
          <w:highlight w:val="yellow"/>
        </w:rPr>
        <w:t>664 – Moravskoslezský krajský svaz házené</w:t>
      </w:r>
    </w:p>
    <w:p w:rsidR="008958B2" w:rsidRDefault="008958B2" w:rsidP="008958B2">
      <w:pPr>
        <w:pStyle w:val="Odstavecseseznamem"/>
        <w:ind w:left="0"/>
        <w:jc w:val="both"/>
        <w:rPr>
          <w:sz w:val="24"/>
          <w:szCs w:val="24"/>
        </w:rPr>
      </w:pPr>
    </w:p>
    <w:p w:rsidR="008958B2" w:rsidRDefault="008958B2" w:rsidP="008958B2">
      <w:pPr>
        <w:pStyle w:val="Odstavecseseznamem"/>
        <w:ind w:left="0"/>
        <w:jc w:val="both"/>
        <w:rPr>
          <w:sz w:val="24"/>
          <w:szCs w:val="24"/>
        </w:rPr>
      </w:pPr>
      <w:r>
        <w:rPr>
          <w:sz w:val="24"/>
          <w:szCs w:val="24"/>
        </w:rPr>
        <w:t xml:space="preserve">Tzn. například platba startovné do soutěží na soutěžní ročník 2012/2013 určená Zlínskému krajskému svazu házené bude mít variabilní symbol </w:t>
      </w:r>
      <w:r w:rsidRPr="00870891">
        <w:rPr>
          <w:sz w:val="24"/>
          <w:szCs w:val="24"/>
          <w:highlight w:val="yellow"/>
        </w:rPr>
        <w:t>100663. 100 označuje startovné do soutěží a 663 určuje, že startovné bude připsáno Zlínskému krajskému svazu házené.</w:t>
      </w:r>
    </w:p>
    <w:p w:rsidR="008958B2" w:rsidRDefault="008958B2" w:rsidP="008958B2">
      <w:pPr>
        <w:pStyle w:val="Odstavecseseznamem"/>
        <w:ind w:left="0"/>
        <w:jc w:val="both"/>
        <w:rPr>
          <w:sz w:val="24"/>
          <w:szCs w:val="24"/>
        </w:rPr>
      </w:pPr>
    </w:p>
    <w:p w:rsidR="008958B2" w:rsidRDefault="008958B2" w:rsidP="008958B2">
      <w:pPr>
        <w:pStyle w:val="Odstavecseseznamem"/>
        <w:ind w:left="0"/>
        <w:jc w:val="both"/>
        <w:rPr>
          <w:sz w:val="24"/>
          <w:szCs w:val="24"/>
        </w:rPr>
      </w:pPr>
    </w:p>
    <w:p w:rsidR="008958B2" w:rsidRDefault="008958B2" w:rsidP="008958B2">
      <w:pPr>
        <w:pStyle w:val="Odstavecseseznamem"/>
        <w:ind w:left="0"/>
        <w:jc w:val="both"/>
        <w:rPr>
          <w:sz w:val="24"/>
          <w:szCs w:val="24"/>
        </w:rPr>
      </w:pPr>
    </w:p>
    <w:p w:rsidR="008958B2" w:rsidRDefault="008958B2" w:rsidP="008958B2">
      <w:pPr>
        <w:pStyle w:val="Odstavecseseznamem"/>
        <w:ind w:left="0"/>
        <w:jc w:val="both"/>
        <w:rPr>
          <w:sz w:val="24"/>
          <w:szCs w:val="24"/>
        </w:rPr>
      </w:pPr>
    </w:p>
    <w:p w:rsidR="00C574D6" w:rsidRDefault="00C574D6"/>
    <w:sectPr w:rsidR="00C574D6" w:rsidSect="00C57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B2"/>
    <w:rsid w:val="0013131C"/>
    <w:rsid w:val="003E091D"/>
    <w:rsid w:val="0051050A"/>
    <w:rsid w:val="00870891"/>
    <w:rsid w:val="008958B2"/>
    <w:rsid w:val="00C574D6"/>
    <w:rsid w:val="00D931B2"/>
    <w:rsid w:val="00F70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931B2"/>
    <w:pPr>
      <w:spacing w:after="0" w:line="240" w:lineRule="auto"/>
    </w:pPr>
  </w:style>
  <w:style w:type="paragraph" w:styleId="Odstavecseseznamem">
    <w:name w:val="List Paragraph"/>
    <w:basedOn w:val="Normln"/>
    <w:uiPriority w:val="34"/>
    <w:qFormat/>
    <w:rsid w:val="008958B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931B2"/>
    <w:pPr>
      <w:spacing w:after="0" w:line="240" w:lineRule="auto"/>
    </w:pPr>
  </w:style>
  <w:style w:type="paragraph" w:styleId="Odstavecseseznamem">
    <w:name w:val="List Paragraph"/>
    <w:basedOn w:val="Normln"/>
    <w:uiPriority w:val="34"/>
    <w:qFormat/>
    <w:rsid w:val="008958B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2688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Jana Hloušová</cp:lastModifiedBy>
  <cp:revision>2</cp:revision>
  <dcterms:created xsi:type="dcterms:W3CDTF">2014-03-11T11:25:00Z</dcterms:created>
  <dcterms:modified xsi:type="dcterms:W3CDTF">2014-03-11T11:25:00Z</dcterms:modified>
</cp:coreProperties>
</file>